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Bonneville Academy</w:t>
      </w:r>
    </w:p>
    <w:p w:rsidR="00000000" w:rsidDel="00000000" w:rsidP="00000000" w:rsidRDefault="00000000" w:rsidRPr="00000000" w14:paraId="00000002">
      <w:pPr>
        <w:spacing w:line="240" w:lineRule="auto"/>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Open Public Board Meeting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0</wp:posOffset>
                </wp:positionV>
                <wp:extent cx="57150" cy="57150"/>
                <wp:effectExtent b="0" l="0" r="0" t="0"/>
                <wp:wrapNone/>
                <wp:docPr id="1" name=""/>
                <a:graphic>
                  <a:graphicData uri="http://schemas.microsoft.com/office/word/2010/wordprocessingShape">
                    <wps:wsp>
                      <wps:cNvCnPr/>
                      <wps:spPr>
                        <a:xfrm>
                          <a:off x="2371632" y="3780000"/>
                          <a:ext cx="5948737" cy="0"/>
                        </a:xfrm>
                        <a:prstGeom prst="straightConnector1">
                          <a:avLst/>
                        </a:prstGeom>
                        <a:noFill/>
                        <a:ln cap="flat" cmpd="sng" w="19050">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0</wp:posOffset>
                </wp:positionV>
                <wp:extent cx="57150" cy="57150"/>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57150" cy="57150"/>
                        </a:xfrm>
                        <a:prstGeom prst="rect"/>
                        <a:ln/>
                      </pic:spPr>
                    </pic:pic>
                  </a:graphicData>
                </a:graphic>
              </wp:anchor>
            </w:drawing>
          </mc:Fallback>
        </mc:AlternateContent>
      </w:r>
    </w:p>
    <w:p w:rsidR="00000000" w:rsidDel="00000000" w:rsidP="00000000" w:rsidRDefault="00000000" w:rsidRPr="00000000" w14:paraId="00000003">
      <w:pPr>
        <w:spacing w:line="240" w:lineRule="auto"/>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September 8, 2026 7:00 pm - 8:30 pm</w:t>
      </w:r>
    </w:p>
    <w:p w:rsidR="00000000" w:rsidDel="00000000" w:rsidP="00000000" w:rsidRDefault="00000000" w:rsidRPr="00000000" w14:paraId="00000004">
      <w:pPr>
        <w:spacing w:line="240" w:lineRule="auto"/>
        <w:rPr>
          <w:rFonts w:ascii="Century Gothic" w:cs="Century Gothic" w:eastAsia="Century Gothic" w:hAnsi="Century Gothic"/>
          <w:b w:val="1"/>
          <w:bCs w:val="1"/>
          <w:sz w:val="24"/>
          <w:szCs w:val="24"/>
        </w:rPr>
      </w:pPr>
      <w:r w:rsidDel="00000000" w:rsidR="00000000" w:rsidRPr="00000000">
        <w:rPr>
          <w:rtl w:val="0"/>
        </w:rPr>
      </w:r>
    </w:p>
    <w:p w:rsidR="00000000" w:rsidDel="00000000" w:rsidP="00000000" w:rsidRDefault="00000000" w:rsidRPr="00000000" w14:paraId="00000005">
      <w:pPr>
        <w:spacing w:line="240" w:lineRule="auto"/>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sz w:val="20"/>
          <w:szCs w:val="20"/>
          <w:rtl w:val="0"/>
        </w:rPr>
        <w:t xml:space="preserve">AGENDA:</w:t>
      </w:r>
      <w:r w:rsidDel="00000000" w:rsidR="00000000" w:rsidRPr="00000000">
        <w:rPr>
          <w:rtl w:val="0"/>
        </w:rPr>
      </w:r>
    </w:p>
    <w:p w:rsidR="00000000" w:rsidDel="00000000" w:rsidP="00000000" w:rsidRDefault="00000000" w:rsidRPr="00000000" w14:paraId="00000006">
      <w:pPr>
        <w:spacing w:line="240" w:lineRule="auto"/>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07">
      <w:pPr>
        <w:numPr>
          <w:ilvl w:val="0"/>
          <w:numId w:val="1"/>
        </w:numPr>
        <w:spacing w:line="24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Call to order</w:t>
      </w:r>
    </w:p>
    <w:p w:rsidR="00000000" w:rsidDel="00000000" w:rsidP="00000000" w:rsidRDefault="00000000" w:rsidRPr="00000000" w14:paraId="00000008">
      <w:pPr>
        <w:spacing w:line="240" w:lineRule="auto"/>
        <w:ind w:left="720" w:firstLine="0"/>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09">
      <w:pPr>
        <w:numPr>
          <w:ilvl w:val="0"/>
          <w:numId w:val="1"/>
        </w:numPr>
        <w:spacing w:line="24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Pledge of Allegiance</w:t>
      </w:r>
    </w:p>
    <w:p w:rsidR="00000000" w:rsidDel="00000000" w:rsidP="00000000" w:rsidRDefault="00000000" w:rsidRPr="00000000" w14:paraId="0000000A">
      <w:pPr>
        <w:spacing w:line="240" w:lineRule="auto"/>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0B">
      <w:pPr>
        <w:numPr>
          <w:ilvl w:val="0"/>
          <w:numId w:val="1"/>
        </w:numPr>
        <w:spacing w:line="24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Consent calendars</w:t>
      </w:r>
    </w:p>
    <w:p w:rsidR="00000000" w:rsidDel="00000000" w:rsidP="00000000" w:rsidRDefault="00000000" w:rsidRPr="00000000" w14:paraId="0000000C">
      <w:pPr>
        <w:numPr>
          <w:ilvl w:val="1"/>
          <w:numId w:val="1"/>
        </w:numPr>
        <w:spacing w:line="240"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August 21, 2026</w:t>
      </w:r>
    </w:p>
    <w:p w:rsidR="00000000" w:rsidDel="00000000" w:rsidP="00000000" w:rsidRDefault="00000000" w:rsidRPr="00000000" w14:paraId="0000000D">
      <w:pPr>
        <w:numPr>
          <w:ilvl w:val="1"/>
          <w:numId w:val="1"/>
        </w:numPr>
        <w:spacing w:line="240"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August 22, 2026</w:t>
      </w:r>
    </w:p>
    <w:p w:rsidR="00000000" w:rsidDel="00000000" w:rsidP="00000000" w:rsidRDefault="00000000" w:rsidRPr="00000000" w14:paraId="0000000E">
      <w:pPr>
        <w:spacing w:line="240" w:lineRule="auto"/>
        <w:ind w:left="720" w:firstLine="0"/>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0F">
      <w:pPr>
        <w:numPr>
          <w:ilvl w:val="0"/>
          <w:numId w:val="1"/>
        </w:numPr>
        <w:spacing w:line="24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Public Comment</w:t>
      </w:r>
    </w:p>
    <w:p w:rsidR="00000000" w:rsidDel="00000000" w:rsidP="00000000" w:rsidRDefault="00000000" w:rsidRPr="00000000" w14:paraId="00000010">
      <w:pPr>
        <w:spacing w:line="240" w:lineRule="auto"/>
        <w:ind w:left="72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*As per Board Policy, public comment will be limited to </w:t>
      </w:r>
      <w:r w:rsidDel="00000000" w:rsidR="00000000" w:rsidRPr="00000000">
        <w:rPr>
          <w:rFonts w:ascii="Century Gothic" w:cs="Century Gothic" w:eastAsia="Century Gothic" w:hAnsi="Century Gothic"/>
          <w:b w:val="1"/>
          <w:bCs w:val="1"/>
          <w:sz w:val="20"/>
          <w:szCs w:val="20"/>
          <w:rtl w:val="0"/>
        </w:rPr>
        <w:t xml:space="preserve">3 minutes</w:t>
      </w:r>
      <w:r w:rsidDel="00000000" w:rsidR="00000000" w:rsidRPr="00000000">
        <w:rPr>
          <w:rFonts w:ascii="Century Gothic" w:cs="Century Gothic" w:eastAsia="Century Gothic" w:hAnsi="Century Gothic"/>
          <w:sz w:val="20"/>
          <w:szCs w:val="20"/>
          <w:rtl w:val="0"/>
        </w:rPr>
        <w:t xml:space="preserve"> per person. Anyone that would like to give a public comment will need to sign up before the start of the public comment period. Grievances, complaints, or concerns with individual employees or board members will not be allowed during this time as they must be dealt with by following the Grievance Policy process. * </w:t>
      </w:r>
    </w:p>
    <w:p w:rsidR="00000000" w:rsidDel="00000000" w:rsidP="00000000" w:rsidRDefault="00000000" w:rsidRPr="00000000" w14:paraId="00000011">
      <w:pPr>
        <w:spacing w:line="240" w:lineRule="auto"/>
        <w:ind w:left="720" w:firstLine="0"/>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12">
      <w:pPr>
        <w:numPr>
          <w:ilvl w:val="0"/>
          <w:numId w:val="1"/>
        </w:numPr>
        <w:spacing w:line="24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Director Reports </w:t>
      </w:r>
    </w:p>
    <w:p w:rsidR="00000000" w:rsidDel="00000000" w:rsidP="00000000" w:rsidRDefault="00000000" w:rsidRPr="00000000" w14:paraId="00000013">
      <w:pPr>
        <w:spacing w:line="240" w:lineRule="auto"/>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14">
      <w:pPr>
        <w:numPr>
          <w:ilvl w:val="0"/>
          <w:numId w:val="1"/>
        </w:numPr>
        <w:spacing w:line="24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Committee Reports:</w:t>
      </w:r>
    </w:p>
    <w:p w:rsidR="00000000" w:rsidDel="00000000" w:rsidP="00000000" w:rsidRDefault="00000000" w:rsidRPr="00000000" w14:paraId="00000015">
      <w:pPr>
        <w:numPr>
          <w:ilvl w:val="1"/>
          <w:numId w:val="1"/>
        </w:numPr>
        <w:spacing w:line="240"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Executive – Will Frazier</w:t>
      </w:r>
    </w:p>
    <w:p w:rsidR="00000000" w:rsidDel="00000000" w:rsidP="00000000" w:rsidRDefault="00000000" w:rsidRPr="00000000" w14:paraId="00000016">
      <w:pPr>
        <w:numPr>
          <w:ilvl w:val="1"/>
          <w:numId w:val="1"/>
        </w:numPr>
        <w:spacing w:line="240"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Finance - Derek Parry</w:t>
      </w:r>
    </w:p>
    <w:p w:rsidR="00000000" w:rsidDel="00000000" w:rsidP="00000000" w:rsidRDefault="00000000" w:rsidRPr="00000000" w14:paraId="00000017">
      <w:pPr>
        <w:numPr>
          <w:ilvl w:val="1"/>
          <w:numId w:val="1"/>
        </w:numPr>
        <w:spacing w:line="240"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Trust Lands – </w:t>
      </w:r>
    </w:p>
    <w:p w:rsidR="00000000" w:rsidDel="00000000" w:rsidP="00000000" w:rsidRDefault="00000000" w:rsidRPr="00000000" w14:paraId="00000018">
      <w:pPr>
        <w:numPr>
          <w:ilvl w:val="1"/>
          <w:numId w:val="1"/>
        </w:numPr>
        <w:spacing w:line="240"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Academic Excellence – Will Frazier</w:t>
      </w:r>
    </w:p>
    <w:p w:rsidR="00000000" w:rsidDel="00000000" w:rsidP="00000000" w:rsidRDefault="00000000" w:rsidRPr="00000000" w14:paraId="00000019">
      <w:pPr>
        <w:numPr>
          <w:ilvl w:val="1"/>
          <w:numId w:val="1"/>
        </w:numPr>
        <w:spacing w:line="240"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Governance - </w:t>
      </w:r>
    </w:p>
    <w:p w:rsidR="00000000" w:rsidDel="00000000" w:rsidP="00000000" w:rsidRDefault="00000000" w:rsidRPr="00000000" w14:paraId="0000001A">
      <w:pPr>
        <w:numPr>
          <w:ilvl w:val="1"/>
          <w:numId w:val="1"/>
        </w:numPr>
        <w:spacing w:line="240"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Audit – </w:t>
      </w:r>
    </w:p>
    <w:p w:rsidR="00000000" w:rsidDel="00000000" w:rsidP="00000000" w:rsidRDefault="00000000" w:rsidRPr="00000000" w14:paraId="0000001B">
      <w:pPr>
        <w:numPr>
          <w:ilvl w:val="1"/>
          <w:numId w:val="1"/>
        </w:numPr>
        <w:spacing w:line="240"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Marketing – </w:t>
      </w:r>
    </w:p>
    <w:p w:rsidR="00000000" w:rsidDel="00000000" w:rsidP="00000000" w:rsidRDefault="00000000" w:rsidRPr="00000000" w14:paraId="0000001C">
      <w:pPr>
        <w:numPr>
          <w:ilvl w:val="1"/>
          <w:numId w:val="1"/>
        </w:numPr>
        <w:spacing w:line="240"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PTO – Kristy Shelly</w:t>
      </w:r>
    </w:p>
    <w:p w:rsidR="00000000" w:rsidDel="00000000" w:rsidP="00000000" w:rsidRDefault="00000000" w:rsidRPr="00000000" w14:paraId="0000001D">
      <w:pPr>
        <w:spacing w:line="240" w:lineRule="auto"/>
        <w:ind w:left="1440" w:firstLine="0"/>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1E">
      <w:pPr>
        <w:numPr>
          <w:ilvl w:val="0"/>
          <w:numId w:val="1"/>
        </w:numPr>
        <w:spacing w:line="24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Discussion Items</w:t>
      </w:r>
    </w:p>
    <w:p w:rsidR="00000000" w:rsidDel="00000000" w:rsidP="00000000" w:rsidRDefault="00000000" w:rsidRPr="00000000" w14:paraId="0000001F">
      <w:pPr>
        <w:numPr>
          <w:ilvl w:val="1"/>
          <w:numId w:val="1"/>
        </w:numPr>
        <w:spacing w:line="240"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Committee Assignments</w:t>
      </w:r>
    </w:p>
    <w:p w:rsidR="00000000" w:rsidDel="00000000" w:rsidP="00000000" w:rsidRDefault="00000000" w:rsidRPr="00000000" w14:paraId="00000020">
      <w:pPr>
        <w:numPr>
          <w:ilvl w:val="1"/>
          <w:numId w:val="1"/>
        </w:numPr>
        <w:spacing w:line="240" w:lineRule="auto"/>
        <w:ind w:left="1440" w:hanging="360"/>
        <w:rPr>
          <w:rFonts w:ascii="Century Gothic" w:cs="Century Gothic" w:eastAsia="Century Gothic" w:hAnsi="Century Gothic"/>
          <w:sz w:val="20"/>
          <w:szCs w:val="20"/>
          <w:u w:val="none"/>
        </w:rPr>
      </w:pPr>
      <w:r w:rsidDel="00000000" w:rsidR="00000000" w:rsidRPr="00000000">
        <w:rPr>
          <w:rFonts w:ascii="Century Gothic" w:cs="Century Gothic" w:eastAsia="Century Gothic" w:hAnsi="Century Gothic"/>
          <w:sz w:val="20"/>
          <w:szCs w:val="20"/>
          <w:rtl w:val="0"/>
        </w:rPr>
        <w:t xml:space="preserve">TSSA Framework</w:t>
      </w:r>
    </w:p>
    <w:p w:rsidR="00000000" w:rsidDel="00000000" w:rsidP="00000000" w:rsidRDefault="00000000" w:rsidRPr="00000000" w14:paraId="00000021">
      <w:pPr>
        <w:numPr>
          <w:ilvl w:val="1"/>
          <w:numId w:val="1"/>
        </w:numPr>
        <w:spacing w:line="240" w:lineRule="auto"/>
        <w:ind w:left="1440" w:hanging="360"/>
        <w:rPr>
          <w:rFonts w:ascii="Century Gothic" w:cs="Century Gothic" w:eastAsia="Century Gothic" w:hAnsi="Century Gothic"/>
          <w:sz w:val="20"/>
          <w:szCs w:val="20"/>
          <w:u w:val="none"/>
        </w:rPr>
      </w:pPr>
      <w:r w:rsidDel="00000000" w:rsidR="00000000" w:rsidRPr="00000000">
        <w:rPr>
          <w:rFonts w:ascii="Century Gothic" w:cs="Century Gothic" w:eastAsia="Century Gothic" w:hAnsi="Century Gothic"/>
          <w:sz w:val="20"/>
          <w:szCs w:val="20"/>
          <w:rtl w:val="0"/>
        </w:rPr>
        <w:t xml:space="preserve">Review FY26 Fraud Risk Assessment</w:t>
      </w:r>
    </w:p>
    <w:p w:rsidR="00000000" w:rsidDel="00000000" w:rsidP="00000000" w:rsidRDefault="00000000" w:rsidRPr="00000000" w14:paraId="00000022">
      <w:pPr>
        <w:spacing w:line="240" w:lineRule="auto"/>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23">
      <w:pPr>
        <w:numPr>
          <w:ilvl w:val="0"/>
          <w:numId w:val="1"/>
        </w:numPr>
        <w:spacing w:line="240" w:lineRule="auto"/>
        <w:ind w:left="720" w:hanging="360"/>
        <w:rPr>
          <w:rFonts w:ascii="Century Gothic" w:cs="Century Gothic" w:eastAsia="Century Gothic" w:hAnsi="Century Gothic"/>
          <w:sz w:val="20"/>
          <w:szCs w:val="20"/>
          <w:u w:val="none"/>
        </w:rPr>
      </w:pPr>
      <w:r w:rsidDel="00000000" w:rsidR="00000000" w:rsidRPr="00000000">
        <w:rPr>
          <w:rFonts w:ascii="Century Gothic" w:cs="Century Gothic" w:eastAsia="Century Gothic" w:hAnsi="Century Gothic"/>
          <w:sz w:val="20"/>
          <w:szCs w:val="20"/>
          <w:rtl w:val="0"/>
        </w:rPr>
        <w:t xml:space="preserve">Action Items:</w:t>
      </w:r>
    </w:p>
    <w:p w:rsidR="00000000" w:rsidDel="00000000" w:rsidP="00000000" w:rsidRDefault="00000000" w:rsidRPr="00000000" w14:paraId="00000024">
      <w:pPr>
        <w:numPr>
          <w:ilvl w:val="1"/>
          <w:numId w:val="1"/>
        </w:numPr>
        <w:spacing w:line="240" w:lineRule="auto"/>
        <w:ind w:left="1440" w:hanging="360"/>
        <w:rPr>
          <w:rFonts w:ascii="Century Gothic" w:cs="Century Gothic" w:eastAsia="Century Gothic" w:hAnsi="Century Gothic"/>
          <w:sz w:val="20"/>
          <w:szCs w:val="20"/>
          <w:u w:val="none"/>
        </w:rPr>
      </w:pPr>
      <w:r w:rsidDel="00000000" w:rsidR="00000000" w:rsidRPr="00000000">
        <w:rPr>
          <w:rFonts w:ascii="Century Gothic" w:cs="Century Gothic" w:eastAsia="Century Gothic" w:hAnsi="Century Gothic"/>
          <w:sz w:val="20"/>
          <w:szCs w:val="20"/>
          <w:rtl w:val="0"/>
        </w:rPr>
        <w:t xml:space="preserve">TSSA Framework</w:t>
      </w:r>
    </w:p>
    <w:p w:rsidR="00000000" w:rsidDel="00000000" w:rsidP="00000000" w:rsidRDefault="00000000" w:rsidRPr="00000000" w14:paraId="00000025">
      <w:pPr>
        <w:spacing w:line="240" w:lineRule="auto"/>
        <w:rPr>
          <w:rFonts w:ascii="Century Gothic" w:cs="Century Gothic" w:eastAsia="Century Gothic" w:hAnsi="Century Gothic"/>
          <w:color w:val="222222"/>
          <w:sz w:val="20"/>
          <w:szCs w:val="20"/>
        </w:rPr>
      </w:pPr>
      <w:r w:rsidDel="00000000" w:rsidR="00000000" w:rsidRPr="00000000">
        <w:rPr>
          <w:rtl w:val="0"/>
        </w:rPr>
      </w:r>
    </w:p>
    <w:p w:rsidR="00000000" w:rsidDel="00000000" w:rsidP="00000000" w:rsidRDefault="00000000" w:rsidRPr="00000000" w14:paraId="00000026">
      <w:pPr>
        <w:numPr>
          <w:ilvl w:val="0"/>
          <w:numId w:val="1"/>
        </w:numPr>
        <w:spacing w:line="24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Adjourn</w:t>
      </w:r>
    </w:p>
    <w:p w:rsidR="00000000" w:rsidDel="00000000" w:rsidP="00000000" w:rsidRDefault="00000000" w:rsidRPr="00000000" w14:paraId="0000002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