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Charter Trust Land Council Minutes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Date: 21 January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Place: Bonneville Academy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Time: 6:00 - 7:00 PM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Attending: Blake Hall, Brita Hall, Kristy Shelley, Richard Corley, and Penny Maranville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Call to order 6:13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Agenda Items: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Open Community Forum (3 minutes or less per public comment), Open to community, no Public comment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Approve Meetings minutes from last meeting (Blake motioned to approve meetings, Richard seconded, Blake, Brita, Richard, Kristy, amd Penny all approved, motion passes)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General Information: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Begin discussion of TLC Training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Confirm all TLC members have watched training videos. (Brita Will send out paper to sign for training)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Begin discussion from Academic Excellence Committee recommendations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Ideas, action items, suggestions for the board (Discussed math curriculum as a need for funding from academic excellence committee.)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Blake motions to adjourn Penny seconds, Blake, Brita, Kristy, Richard and Penny all approve. Motion passes meeting adjourned.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