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13D" w:rsidRPr="00DA3890" w:rsidRDefault="00AF713D" w:rsidP="00DA3890">
      <w:pPr>
        <w:pStyle w:val="Heading1"/>
        <w:spacing w:before="0"/>
        <w:jc w:val="center"/>
        <w:rPr>
          <w:rFonts w:eastAsia="Times New Roman"/>
          <w:sz w:val="36"/>
          <w:szCs w:val="36"/>
        </w:rPr>
      </w:pPr>
      <w:bookmarkStart w:id="0" w:name="53E-9-301(7)(b)"/>
      <w:bookmarkEnd w:id="0"/>
      <w:r w:rsidRPr="00DA3890">
        <w:rPr>
          <w:rFonts w:eastAsia="Times New Roman"/>
          <w:sz w:val="36"/>
          <w:szCs w:val="36"/>
        </w:rPr>
        <w:t>Odyssey Charter School</w:t>
      </w:r>
    </w:p>
    <w:p w:rsidR="00CC3004" w:rsidRPr="00DA3890" w:rsidRDefault="00C52170" w:rsidP="00DA3890">
      <w:pPr>
        <w:pStyle w:val="Heading1"/>
        <w:spacing w:before="0"/>
        <w:jc w:val="center"/>
        <w:rPr>
          <w:rFonts w:eastAsia="Times New Roman"/>
          <w:sz w:val="36"/>
          <w:szCs w:val="36"/>
        </w:rPr>
      </w:pPr>
      <w:r w:rsidRPr="00DA3890">
        <w:rPr>
          <w:rFonts w:eastAsia="Times New Roman"/>
          <w:sz w:val="36"/>
          <w:szCs w:val="36"/>
        </w:rPr>
        <w:t>Data Governance Plan</w:t>
      </w:r>
    </w:p>
    <w:p w:rsidR="00C52170" w:rsidRDefault="00671AAF" w:rsidP="00CC3004">
      <w:pPr>
        <w:pStyle w:val="Heading2"/>
      </w:pPr>
      <w:r>
        <w:t xml:space="preserve">1. </w:t>
      </w:r>
      <w:r w:rsidR="00071B65">
        <w:t>Governing Principles</w:t>
      </w:r>
    </w:p>
    <w:p w:rsidR="00726DEB" w:rsidRPr="00726DEB" w:rsidRDefault="00AF713D" w:rsidP="00726DEB">
      <w:r>
        <w:t>Odyssey Charter School</w:t>
      </w:r>
      <w:r w:rsidR="00EB77B8">
        <w:t xml:space="preserve"> </w:t>
      </w:r>
      <w:r w:rsidR="004445C9">
        <w:t>(</w:t>
      </w:r>
      <w:r>
        <w:t>OCS</w:t>
      </w:r>
      <w:r w:rsidR="004445C9">
        <w:t xml:space="preserve">) takes its responsibility toward student data seriously. </w:t>
      </w:r>
      <w:r w:rsidR="00726DEB">
        <w:t>This governance plan incorporates the following Generally Accepted Information Principles (GAIP)</w:t>
      </w:r>
      <w:r w:rsidR="004445C9">
        <w:t>:</w:t>
      </w:r>
    </w:p>
    <w:p w:rsidR="00071B65" w:rsidRDefault="00071B65" w:rsidP="00071B65">
      <w:pPr>
        <w:pStyle w:val="ListParagraph"/>
        <w:numPr>
          <w:ilvl w:val="0"/>
          <w:numId w:val="4"/>
        </w:numPr>
      </w:pPr>
      <w:r>
        <w:rPr>
          <w:b/>
        </w:rPr>
        <w:t xml:space="preserve">Risk: </w:t>
      </w:r>
      <w:r>
        <w:t>There is risk associated with data and content. The risk must be formally recognized, either as a liability or through incurring costs to manage and reduce the inherent risk.</w:t>
      </w:r>
    </w:p>
    <w:p w:rsidR="00071B65" w:rsidRDefault="00726DEB" w:rsidP="00071B65">
      <w:pPr>
        <w:pStyle w:val="ListParagraph"/>
        <w:numPr>
          <w:ilvl w:val="0"/>
          <w:numId w:val="4"/>
        </w:numPr>
      </w:pPr>
      <w:r>
        <w:rPr>
          <w:b/>
        </w:rPr>
        <w:t>Due Diligence:</w:t>
      </w:r>
      <w:r>
        <w:t xml:space="preserve"> If a risk is known, it must be reported. If a risk is possible, it must be confirmed.</w:t>
      </w:r>
    </w:p>
    <w:p w:rsidR="00726DEB" w:rsidRDefault="00726DEB" w:rsidP="00071B65">
      <w:pPr>
        <w:pStyle w:val="ListParagraph"/>
        <w:numPr>
          <w:ilvl w:val="0"/>
          <w:numId w:val="4"/>
        </w:numPr>
      </w:pPr>
      <w:r>
        <w:rPr>
          <w:b/>
        </w:rPr>
        <w:t>Audit:</w:t>
      </w:r>
      <w:r>
        <w:t xml:space="preserve"> The accuracy of data and content is subject to periodic audit by an independent body.</w:t>
      </w:r>
    </w:p>
    <w:p w:rsidR="00726DEB" w:rsidRDefault="00726DEB" w:rsidP="00071B65">
      <w:pPr>
        <w:pStyle w:val="ListParagraph"/>
        <w:numPr>
          <w:ilvl w:val="0"/>
          <w:numId w:val="4"/>
        </w:numPr>
      </w:pPr>
      <w:r>
        <w:rPr>
          <w:b/>
        </w:rPr>
        <w:t>Accountability:</w:t>
      </w:r>
      <w:r>
        <w:t xml:space="preserve"> An organization must identify parties which are ultimately responsible for data and content assets.</w:t>
      </w:r>
    </w:p>
    <w:p w:rsidR="00726DEB" w:rsidRDefault="00726DEB" w:rsidP="00071B65">
      <w:pPr>
        <w:pStyle w:val="ListParagraph"/>
        <w:numPr>
          <w:ilvl w:val="0"/>
          <w:numId w:val="4"/>
        </w:numPr>
      </w:pPr>
      <w:r>
        <w:rPr>
          <w:b/>
        </w:rPr>
        <w:t xml:space="preserve">Liability: </w:t>
      </w:r>
      <w:r>
        <w:t>The risks in information means there is a financial liability inherent in all data or content that is based on regulatory and ethical misuse or mismanagement.</w:t>
      </w:r>
    </w:p>
    <w:p w:rsidR="00071B65" w:rsidRPr="00071B65" w:rsidRDefault="00071B65" w:rsidP="00071B65"/>
    <w:p w:rsidR="00CC3004" w:rsidRDefault="00671AAF" w:rsidP="00CC3004">
      <w:pPr>
        <w:pStyle w:val="Heading2"/>
      </w:pPr>
      <w:r>
        <w:t xml:space="preserve">2. </w:t>
      </w:r>
      <w:r w:rsidR="00165954">
        <w:t>Data Maintenance and Protection</w:t>
      </w:r>
      <w:r w:rsidR="00CC3004">
        <w:t xml:space="preserve"> </w:t>
      </w:r>
      <w:r w:rsidR="00165954">
        <w:t>Policy</w:t>
      </w:r>
    </w:p>
    <w:p w:rsidR="00CC3004" w:rsidRDefault="00AF713D">
      <w:r>
        <w:t xml:space="preserve">OCS </w:t>
      </w:r>
      <w:r w:rsidR="00CC3004">
        <w:t>recognizes that there is risk and liability in maintaining student data and other education-related data</w:t>
      </w:r>
      <w:r w:rsidR="00165954">
        <w:t xml:space="preserve"> and</w:t>
      </w:r>
      <w:r w:rsidR="00CC3004">
        <w:t xml:space="preserve"> will incorporate reasonable data industry best practices to miti</w:t>
      </w:r>
      <w:bookmarkStart w:id="1" w:name="_GoBack"/>
      <w:bookmarkEnd w:id="1"/>
      <w:r w:rsidR="00CC3004">
        <w:t xml:space="preserve">gate this risk. </w:t>
      </w:r>
    </w:p>
    <w:p w:rsidR="00CC3004" w:rsidRPr="00CC3004" w:rsidRDefault="00671AAF" w:rsidP="00CC3004">
      <w:pPr>
        <w:pStyle w:val="Heading3"/>
      </w:pPr>
      <w:r>
        <w:t xml:space="preserve">2.1 </w:t>
      </w:r>
      <w:r w:rsidR="00CC3004">
        <w:t>Process</w:t>
      </w:r>
    </w:p>
    <w:p w:rsidR="00CC3004" w:rsidRDefault="00CC3004">
      <w:r>
        <w:t xml:space="preserve">In accordance with </w:t>
      </w:r>
      <w:hyperlink r:id="rId5" w:history="1">
        <w:r w:rsidRPr="005D36FC">
          <w:rPr>
            <w:rStyle w:val="Hyperlink"/>
          </w:rPr>
          <w:t>R277-487,</w:t>
        </w:r>
      </w:hyperlink>
      <w:r>
        <w:t xml:space="preserve"> </w:t>
      </w:r>
      <w:r w:rsidR="00AF713D">
        <w:t>OCS</w:t>
      </w:r>
      <w:r>
        <w:t xml:space="preserve"> shall do the following:</w:t>
      </w:r>
    </w:p>
    <w:p w:rsidR="00CC3004" w:rsidRDefault="00CC3004" w:rsidP="00CC3004">
      <w:pPr>
        <w:pStyle w:val="ListParagraph"/>
        <w:numPr>
          <w:ilvl w:val="0"/>
          <w:numId w:val="1"/>
        </w:numPr>
      </w:pPr>
      <w:r>
        <w:t>Designate an individual as a</w:t>
      </w:r>
      <w:r w:rsidR="005D36FC">
        <w:t xml:space="preserve">n </w:t>
      </w:r>
      <w:r>
        <w:t>Information Security Officer</w:t>
      </w:r>
    </w:p>
    <w:p w:rsidR="00CC3004" w:rsidRDefault="00CC3004" w:rsidP="00CC3004">
      <w:pPr>
        <w:pStyle w:val="ListParagraph"/>
        <w:numPr>
          <w:ilvl w:val="0"/>
          <w:numId w:val="1"/>
        </w:numPr>
      </w:pPr>
      <w:r>
        <w:t xml:space="preserve">Adopt the </w:t>
      </w:r>
      <w:hyperlink r:id="rId6" w:history="1">
        <w:r>
          <w:rPr>
            <w:rStyle w:val="Hyperlink"/>
          </w:rPr>
          <w:t>CIS Controls</w:t>
        </w:r>
      </w:hyperlink>
      <w:r>
        <w:t xml:space="preserve"> </w:t>
      </w:r>
      <w:r w:rsidR="00F06C84">
        <w:t>or comparable</w:t>
      </w:r>
    </w:p>
    <w:p w:rsidR="00CC3004" w:rsidRDefault="00165954" w:rsidP="00CC3004">
      <w:pPr>
        <w:pStyle w:val="ListParagraph"/>
        <w:numPr>
          <w:ilvl w:val="0"/>
          <w:numId w:val="1"/>
        </w:numPr>
      </w:pPr>
      <w:r>
        <w:t>R</w:t>
      </w:r>
      <w:r w:rsidR="00CC3004">
        <w:t xml:space="preserve">eport to the USBE </w:t>
      </w:r>
      <w:r>
        <w:t xml:space="preserve">by October 1 each year </w:t>
      </w:r>
      <w:r w:rsidR="00D67138">
        <w:t>regarding the status of the adoption of the CIS controls</w:t>
      </w:r>
      <w:r w:rsidR="00F06C84">
        <w:t xml:space="preserve"> or comparable</w:t>
      </w:r>
      <w:r w:rsidR="00D67138">
        <w:t xml:space="preserve"> and future plans for improvement.</w:t>
      </w:r>
    </w:p>
    <w:p w:rsidR="00B60704" w:rsidRDefault="00B60704" w:rsidP="00D67138">
      <w:pPr>
        <w:pStyle w:val="Heading2"/>
      </w:pPr>
    </w:p>
    <w:p w:rsidR="00D67138" w:rsidRDefault="00671AAF" w:rsidP="00D67138">
      <w:pPr>
        <w:pStyle w:val="Heading2"/>
      </w:pPr>
      <w:r>
        <w:t xml:space="preserve">3. </w:t>
      </w:r>
      <w:r w:rsidR="00D67138">
        <w:t>Roles</w:t>
      </w:r>
      <w:r>
        <w:t xml:space="preserve"> and</w:t>
      </w:r>
      <w:r w:rsidR="00D67138">
        <w:t xml:space="preserve"> Responsibilities</w:t>
      </w:r>
      <w:r w:rsidR="00165954">
        <w:t xml:space="preserve"> Policy</w:t>
      </w:r>
    </w:p>
    <w:p w:rsidR="00D67138" w:rsidRDefault="00AF713D" w:rsidP="00D67138">
      <w:r>
        <w:t>OCS</w:t>
      </w:r>
      <w:r w:rsidR="00D67138">
        <w:t xml:space="preserve"> acknowledges the need to identify parties who are ultimately responsible and accountable for data and content assets. These individuals and their responsibilities are </w:t>
      </w:r>
      <w:r w:rsidR="00671AAF">
        <w:t>as follows:</w:t>
      </w:r>
    </w:p>
    <w:p w:rsidR="00671AAF" w:rsidRDefault="00671AAF" w:rsidP="00671AAF">
      <w:pPr>
        <w:pStyle w:val="Heading3"/>
      </w:pPr>
      <w:r>
        <w:t>3.1 Data Manager roles and responsibilities</w:t>
      </w:r>
    </w:p>
    <w:p w:rsidR="00671AAF" w:rsidRPr="00671AAF" w:rsidRDefault="00671AAF" w:rsidP="00671AAF">
      <w:pPr>
        <w:pStyle w:val="ListParagraph"/>
        <w:numPr>
          <w:ilvl w:val="0"/>
          <w:numId w:val="2"/>
        </w:numPr>
        <w:rPr>
          <w:rFonts w:cstheme="minorHAnsi"/>
        </w:rPr>
      </w:pPr>
      <w:r w:rsidRPr="00671AAF">
        <w:rPr>
          <w:rFonts w:cstheme="minorHAnsi"/>
          <w:color w:val="000000"/>
          <w:shd w:val="clear" w:color="auto" w:fill="FFFFFF"/>
        </w:rPr>
        <w:t>authorize and manage the sharing, outside of the student data manager's education entity, of personally identifiable student data for the education entity as described in this section</w:t>
      </w:r>
    </w:p>
    <w:p w:rsidR="00671AAF" w:rsidRPr="00671AAF" w:rsidRDefault="00671AAF" w:rsidP="00671AAF">
      <w:pPr>
        <w:pStyle w:val="ListParagraph"/>
        <w:numPr>
          <w:ilvl w:val="0"/>
          <w:numId w:val="2"/>
        </w:numPr>
        <w:rPr>
          <w:rFonts w:cstheme="minorHAnsi"/>
        </w:rPr>
      </w:pPr>
      <w:r w:rsidRPr="00671AAF">
        <w:rPr>
          <w:rFonts w:cstheme="minorHAnsi"/>
        </w:rPr>
        <w:t>provide for necessary technical assistance, training, and support</w:t>
      </w:r>
    </w:p>
    <w:p w:rsidR="00671AAF" w:rsidRPr="00B83EC8" w:rsidRDefault="00671AAF" w:rsidP="00671AAF">
      <w:pPr>
        <w:pStyle w:val="ListParagraph"/>
        <w:numPr>
          <w:ilvl w:val="0"/>
          <w:numId w:val="2"/>
        </w:numPr>
        <w:rPr>
          <w:rFonts w:cstheme="minorHAnsi"/>
        </w:rPr>
      </w:pPr>
      <w:r w:rsidRPr="00671AAF">
        <w:rPr>
          <w:rFonts w:cstheme="minorHAnsi"/>
          <w:color w:val="000000"/>
          <w:shd w:val="clear" w:color="auto" w:fill="FFFFFF"/>
        </w:rPr>
        <w:t>act as the primary local point of contact for the state student data officer</w:t>
      </w:r>
    </w:p>
    <w:p w:rsidR="00B83EC8" w:rsidRDefault="00B83EC8" w:rsidP="00671AAF">
      <w:pPr>
        <w:pStyle w:val="ListParagraph"/>
        <w:numPr>
          <w:ilvl w:val="0"/>
          <w:numId w:val="2"/>
        </w:numPr>
        <w:rPr>
          <w:rFonts w:cstheme="minorHAnsi"/>
        </w:rPr>
      </w:pPr>
      <w:r>
        <w:rPr>
          <w:rFonts w:cstheme="minorHAnsi"/>
        </w:rPr>
        <w:t xml:space="preserve">ensure that the following notices are available to parents: </w:t>
      </w:r>
    </w:p>
    <w:p w:rsidR="00B83EC8" w:rsidRDefault="00B83EC8" w:rsidP="00B83EC8">
      <w:pPr>
        <w:pStyle w:val="ListParagraph"/>
        <w:numPr>
          <w:ilvl w:val="1"/>
          <w:numId w:val="2"/>
        </w:numPr>
        <w:rPr>
          <w:rFonts w:cstheme="minorHAnsi"/>
        </w:rPr>
      </w:pPr>
      <w:r>
        <w:rPr>
          <w:rFonts w:cstheme="minorHAnsi"/>
        </w:rPr>
        <w:t xml:space="preserve">annual FERPA notice (see </w:t>
      </w:r>
      <w:hyperlink r:id="rId7" w:history="1">
        <w:r w:rsidRPr="00B83EC8">
          <w:rPr>
            <w:rStyle w:val="Hyperlink"/>
            <w:rFonts w:cstheme="minorHAnsi"/>
          </w:rPr>
          <w:t>34 CFR 99.7</w:t>
        </w:r>
      </w:hyperlink>
      <w:r>
        <w:rPr>
          <w:rFonts w:cstheme="minorHAnsi"/>
        </w:rPr>
        <w:t xml:space="preserve">), </w:t>
      </w:r>
    </w:p>
    <w:p w:rsidR="00B83EC8" w:rsidRDefault="00B83EC8" w:rsidP="00B83EC8">
      <w:pPr>
        <w:pStyle w:val="ListParagraph"/>
        <w:numPr>
          <w:ilvl w:val="1"/>
          <w:numId w:val="2"/>
        </w:numPr>
        <w:rPr>
          <w:rFonts w:cstheme="minorHAnsi"/>
        </w:rPr>
      </w:pPr>
      <w:r>
        <w:rPr>
          <w:rFonts w:cstheme="minorHAnsi"/>
        </w:rPr>
        <w:t xml:space="preserve">directory information policy (see </w:t>
      </w:r>
      <w:hyperlink r:id="rId8" w:history="1">
        <w:r w:rsidRPr="00B83EC8">
          <w:rPr>
            <w:rStyle w:val="Hyperlink"/>
            <w:rFonts w:cstheme="minorHAnsi"/>
          </w:rPr>
          <w:t>34 CFR 99.37</w:t>
        </w:r>
      </w:hyperlink>
      <w:r>
        <w:rPr>
          <w:rFonts w:cstheme="minorHAnsi"/>
        </w:rPr>
        <w:t>),</w:t>
      </w:r>
    </w:p>
    <w:p w:rsidR="00B83EC8" w:rsidRDefault="00B83EC8" w:rsidP="00B83EC8">
      <w:pPr>
        <w:pStyle w:val="ListParagraph"/>
        <w:numPr>
          <w:ilvl w:val="1"/>
          <w:numId w:val="2"/>
        </w:numPr>
        <w:rPr>
          <w:rFonts w:cstheme="minorHAnsi"/>
        </w:rPr>
      </w:pPr>
      <w:r>
        <w:rPr>
          <w:rFonts w:cstheme="minorHAnsi"/>
        </w:rPr>
        <w:t xml:space="preserve">survey policy and notice (see </w:t>
      </w:r>
      <w:hyperlink r:id="rId9" w:history="1">
        <w:r w:rsidRPr="00B83EC8">
          <w:rPr>
            <w:rStyle w:val="Hyperlink"/>
            <w:rFonts w:cstheme="minorHAnsi"/>
          </w:rPr>
          <w:t>20 USC 1232h</w:t>
        </w:r>
      </w:hyperlink>
      <w:r>
        <w:rPr>
          <w:rFonts w:cstheme="minorHAnsi"/>
        </w:rPr>
        <w:t xml:space="preserve"> and </w:t>
      </w:r>
      <w:hyperlink r:id="rId10" w:history="1">
        <w:r w:rsidRPr="00B83EC8">
          <w:rPr>
            <w:rStyle w:val="Hyperlink"/>
            <w:rFonts w:cstheme="minorHAnsi"/>
          </w:rPr>
          <w:t>53E-9-203</w:t>
        </w:r>
      </w:hyperlink>
      <w:r>
        <w:rPr>
          <w:rFonts w:cstheme="minorHAnsi"/>
        </w:rPr>
        <w:t xml:space="preserve">), </w:t>
      </w:r>
    </w:p>
    <w:p w:rsidR="00B83EC8" w:rsidRPr="00671AAF" w:rsidRDefault="00B83EC8" w:rsidP="00B83EC8">
      <w:pPr>
        <w:pStyle w:val="ListParagraph"/>
        <w:numPr>
          <w:ilvl w:val="1"/>
          <w:numId w:val="2"/>
        </w:numPr>
        <w:rPr>
          <w:rFonts w:cstheme="minorHAnsi"/>
        </w:rPr>
      </w:pPr>
      <w:r>
        <w:rPr>
          <w:rFonts w:cstheme="minorHAnsi"/>
        </w:rPr>
        <w:t xml:space="preserve">data collection notice (see </w:t>
      </w:r>
      <w:hyperlink r:id="rId11" w:history="1">
        <w:r w:rsidRPr="00B83EC8">
          <w:rPr>
            <w:rStyle w:val="Hyperlink"/>
            <w:rFonts w:cstheme="minorHAnsi"/>
          </w:rPr>
          <w:t>53E-9-305</w:t>
        </w:r>
      </w:hyperlink>
      <w:r>
        <w:rPr>
          <w:rFonts w:cstheme="minorHAnsi"/>
        </w:rPr>
        <w:t>)</w:t>
      </w:r>
    </w:p>
    <w:p w:rsidR="00671AAF" w:rsidRDefault="00671AAF" w:rsidP="00671AAF">
      <w:pPr>
        <w:pStyle w:val="Heading3"/>
      </w:pPr>
      <w:r>
        <w:lastRenderedPageBreak/>
        <w:t>3.2 Information Security Officer</w:t>
      </w:r>
    </w:p>
    <w:p w:rsidR="00671AAF" w:rsidRDefault="00671AAF" w:rsidP="00671AAF">
      <w:pPr>
        <w:pStyle w:val="ListParagraph"/>
        <w:numPr>
          <w:ilvl w:val="0"/>
          <w:numId w:val="3"/>
        </w:numPr>
      </w:pPr>
      <w:r>
        <w:t>Oversee adoption of the CIS controls</w:t>
      </w:r>
    </w:p>
    <w:p w:rsidR="00671AAF" w:rsidRDefault="00671AAF" w:rsidP="00671AAF">
      <w:pPr>
        <w:pStyle w:val="ListParagraph"/>
        <w:numPr>
          <w:ilvl w:val="0"/>
          <w:numId w:val="3"/>
        </w:numPr>
      </w:pPr>
      <w:r>
        <w:t>Provide for necessary technical assistance, training, and support as it relates to IT security</w:t>
      </w:r>
    </w:p>
    <w:p w:rsidR="00D67138" w:rsidRPr="00CC3004" w:rsidRDefault="00D67138" w:rsidP="00D67138"/>
    <w:p w:rsidR="00CC3004" w:rsidRDefault="00671AAF" w:rsidP="00165954">
      <w:pPr>
        <w:pStyle w:val="Heading2"/>
      </w:pPr>
      <w:r>
        <w:t xml:space="preserve">4. </w:t>
      </w:r>
      <w:r w:rsidR="00165954">
        <w:t>Training and Support Policy</w:t>
      </w:r>
    </w:p>
    <w:p w:rsidR="00C52170" w:rsidRDefault="00AF713D" w:rsidP="005C5259">
      <w:r>
        <w:t xml:space="preserve">OCS </w:t>
      </w:r>
      <w:r w:rsidR="005C5259">
        <w:t xml:space="preserve">recognizes that training and supporting educators and staff regarding federal and state data privacy laws is a necessary control to ensure legal compliance. </w:t>
      </w:r>
    </w:p>
    <w:p w:rsidR="005C5259" w:rsidRDefault="005C5259" w:rsidP="005C5259">
      <w:pPr>
        <w:pStyle w:val="Heading3"/>
      </w:pPr>
      <w:r>
        <w:t>4.1 Procedure</w:t>
      </w:r>
    </w:p>
    <w:p w:rsidR="005C5259" w:rsidRDefault="005C5259" w:rsidP="0008195F">
      <w:pPr>
        <w:pStyle w:val="ListParagraph"/>
        <w:numPr>
          <w:ilvl w:val="0"/>
          <w:numId w:val="12"/>
        </w:numPr>
      </w:pPr>
      <w:r>
        <w:t xml:space="preserve">The data manager will ensure that educators who have access to student records will receive </w:t>
      </w:r>
      <w:r w:rsidR="0008195F">
        <w:t>an annual</w:t>
      </w:r>
      <w:r>
        <w:t xml:space="preserve"> training on </w:t>
      </w:r>
      <w:r w:rsidR="0008195F">
        <w:t xml:space="preserve">confidentiality of student data to all employees with access to student data. The content of this training will be based on the Data Sharing Policy. </w:t>
      </w:r>
    </w:p>
    <w:p w:rsidR="005C5259" w:rsidRDefault="005C5259" w:rsidP="0008195F">
      <w:pPr>
        <w:pStyle w:val="ListParagraph"/>
        <w:numPr>
          <w:ilvl w:val="0"/>
          <w:numId w:val="12"/>
        </w:numPr>
      </w:pPr>
      <w:r>
        <w:t xml:space="preserve">By October 1 each year, the data manager will report to USBE the completion status of the annual </w:t>
      </w:r>
      <w:r w:rsidR="0008195F">
        <w:t xml:space="preserve">confidentiality </w:t>
      </w:r>
      <w:r>
        <w:t>training</w:t>
      </w:r>
      <w:r w:rsidR="001A0B2F">
        <w:t xml:space="preserve"> and provide a copy of the training materials used.</w:t>
      </w:r>
    </w:p>
    <w:p w:rsidR="0008195F" w:rsidRDefault="0008195F" w:rsidP="0008195F">
      <w:pPr>
        <w:pStyle w:val="ListParagraph"/>
        <w:numPr>
          <w:ilvl w:val="0"/>
          <w:numId w:val="12"/>
        </w:numPr>
      </w:pPr>
      <w:r>
        <w:t xml:space="preserve">The data manager shall keep a list of all employees who are authorized to access student education records after having completed a training that meets the requirements of </w:t>
      </w:r>
      <w:hyperlink r:id="rId12" w:history="1">
        <w:r w:rsidRPr="0008195F">
          <w:rPr>
            <w:rStyle w:val="Hyperlink"/>
          </w:rPr>
          <w:t>53E-9-204</w:t>
        </w:r>
      </w:hyperlink>
      <w:r>
        <w:t>.</w:t>
      </w:r>
    </w:p>
    <w:p w:rsidR="001A0B2F" w:rsidRPr="0008195F" w:rsidRDefault="00415E35" w:rsidP="005C5259">
      <w:pPr>
        <w:rPr>
          <w:i/>
        </w:rPr>
      </w:pPr>
      <w:r w:rsidRPr="00415E35">
        <w:rPr>
          <w:i/>
        </w:rPr>
        <w:t xml:space="preserve">OCS will use the USBE’s course for teacher re-licensure to fulfill the training requirement.  </w:t>
      </w:r>
    </w:p>
    <w:p w:rsidR="00165954" w:rsidRDefault="00671AAF" w:rsidP="00C52170">
      <w:pPr>
        <w:pStyle w:val="Heading2"/>
      </w:pPr>
      <w:r>
        <w:t xml:space="preserve">5. </w:t>
      </w:r>
      <w:r w:rsidR="00C52170">
        <w:t>Audit Policy</w:t>
      </w:r>
    </w:p>
    <w:p w:rsidR="00B83EC8" w:rsidRDefault="001A0B2F" w:rsidP="00C52170">
      <w:r>
        <w:t xml:space="preserve">In accordance with the risk management priorities of </w:t>
      </w:r>
      <w:r w:rsidR="00415E35">
        <w:t xml:space="preserve">OCS, OCS </w:t>
      </w:r>
      <w:r>
        <w:t>will conduct an audit of</w:t>
      </w:r>
      <w:r w:rsidR="00B83EC8">
        <w:t>:</w:t>
      </w:r>
      <w:r>
        <w:t xml:space="preserve"> </w:t>
      </w:r>
    </w:p>
    <w:p w:rsidR="00B83EC8" w:rsidRDefault="00B83EC8" w:rsidP="00613F80">
      <w:pPr>
        <w:pStyle w:val="ListParagraph"/>
        <w:numPr>
          <w:ilvl w:val="0"/>
          <w:numId w:val="11"/>
        </w:numPr>
      </w:pPr>
      <w:r>
        <w:t xml:space="preserve">The effectiveness of the controls used to follow </w:t>
      </w:r>
      <w:r w:rsidR="001A0B2F">
        <w:t>this data governance plan</w:t>
      </w:r>
      <w:r>
        <w:t>; and</w:t>
      </w:r>
    </w:p>
    <w:p w:rsidR="001A0B2F" w:rsidRDefault="00B83EC8" w:rsidP="00613F80">
      <w:pPr>
        <w:pStyle w:val="ListParagraph"/>
        <w:numPr>
          <w:ilvl w:val="0"/>
          <w:numId w:val="11"/>
        </w:numPr>
      </w:pPr>
      <w:r>
        <w:t>Third-party contractors, as permitted by</w:t>
      </w:r>
      <w:r w:rsidR="00B05A2C">
        <w:t xml:space="preserve"> the contract described in</w:t>
      </w:r>
      <w:r>
        <w:t xml:space="preserve"> </w:t>
      </w:r>
      <w:hyperlink r:id="rId13" w:history="1">
        <w:r w:rsidRPr="00B05A2C">
          <w:rPr>
            <w:rStyle w:val="Hyperlink"/>
          </w:rPr>
          <w:t>53E-9-309(2).</w:t>
        </w:r>
      </w:hyperlink>
      <w:r>
        <w:t xml:space="preserve"> </w:t>
      </w:r>
    </w:p>
    <w:p w:rsidR="00C52170" w:rsidRDefault="001A0B2F" w:rsidP="00C52170">
      <w:r>
        <w:t xml:space="preserve"> </w:t>
      </w:r>
    </w:p>
    <w:p w:rsidR="00C52170" w:rsidRDefault="00671AAF" w:rsidP="00C52170">
      <w:pPr>
        <w:pStyle w:val="Heading2"/>
      </w:pPr>
      <w:r>
        <w:t xml:space="preserve">6. </w:t>
      </w:r>
      <w:r w:rsidR="00C52170">
        <w:t>Data Sharing Policy</w:t>
      </w:r>
    </w:p>
    <w:p w:rsidR="00C52170" w:rsidRDefault="005D36FC" w:rsidP="00C52170">
      <w:r>
        <w:t xml:space="preserve">There is a risk of redisclosure whenever student data are shared. </w:t>
      </w:r>
      <w:r w:rsidR="00415E35">
        <w:t>OCS</w:t>
      </w:r>
      <w:r>
        <w:t xml:space="preserve"> shall follow appropriate controls to mitigate the risk of redisclosure and to ensure compliance with federal and state law.</w:t>
      </w:r>
    </w:p>
    <w:p w:rsidR="005D36FC" w:rsidRDefault="005D36FC" w:rsidP="005D36FC">
      <w:pPr>
        <w:pStyle w:val="Heading3"/>
      </w:pPr>
      <w:r>
        <w:t>6.1 Procedure</w:t>
      </w:r>
    </w:p>
    <w:p w:rsidR="005D36FC" w:rsidRDefault="005D36FC" w:rsidP="005D36FC">
      <w:pPr>
        <w:pStyle w:val="ListParagraph"/>
        <w:numPr>
          <w:ilvl w:val="0"/>
          <w:numId w:val="7"/>
        </w:numPr>
      </w:pPr>
      <w:r>
        <w:t>The data manager shall approve all data sharing or designate other individuals who have been trained on compliance requirements with FERPA.</w:t>
      </w:r>
    </w:p>
    <w:p w:rsidR="005D36FC" w:rsidRPr="0008195F" w:rsidRDefault="005D36FC" w:rsidP="005D36FC">
      <w:pPr>
        <w:pStyle w:val="ListParagraph"/>
        <w:numPr>
          <w:ilvl w:val="0"/>
          <w:numId w:val="7"/>
        </w:numPr>
        <w:rPr>
          <w:rStyle w:val="Hyperlink"/>
          <w:color w:val="auto"/>
          <w:u w:val="none"/>
        </w:rPr>
      </w:pPr>
      <w:r>
        <w:t xml:space="preserve">For external research, the data manager shall ensure that the study follows the requirements of FERPA’s study exception described in </w:t>
      </w:r>
      <w:hyperlink r:id="rId14" w:history="1">
        <w:r w:rsidRPr="00B05A2C">
          <w:rPr>
            <w:rStyle w:val="Hyperlink"/>
          </w:rPr>
          <w:t>34 CFR 99.31(a</w:t>
        </w:r>
        <w:proofErr w:type="gramStart"/>
        <w:r w:rsidRPr="00B05A2C">
          <w:rPr>
            <w:rStyle w:val="Hyperlink"/>
          </w:rPr>
          <w:t>)(</w:t>
        </w:r>
        <w:proofErr w:type="gramEnd"/>
        <w:r w:rsidRPr="00B05A2C">
          <w:rPr>
            <w:rStyle w:val="Hyperlink"/>
          </w:rPr>
          <w:t>6).</w:t>
        </w:r>
      </w:hyperlink>
    </w:p>
    <w:p w:rsidR="00B83EC8" w:rsidRDefault="00B83EC8" w:rsidP="005D36FC">
      <w:pPr>
        <w:pStyle w:val="ListParagraph"/>
        <w:numPr>
          <w:ilvl w:val="0"/>
          <w:numId w:val="7"/>
        </w:numPr>
      </w:pPr>
      <w:r>
        <w:t xml:space="preserve">After sharing from student records, the data manager shall ensure that an entry is made in </w:t>
      </w:r>
      <w:r w:rsidR="00415E35">
        <w:t xml:space="preserve">OCS’s </w:t>
      </w:r>
      <w:r>
        <w:t>Metadata Dictionary to record that the exchange happened.</w:t>
      </w:r>
    </w:p>
    <w:p w:rsidR="00B83EC8" w:rsidRDefault="00B83EC8" w:rsidP="005D36FC">
      <w:pPr>
        <w:pStyle w:val="ListParagraph"/>
        <w:numPr>
          <w:ilvl w:val="0"/>
          <w:numId w:val="7"/>
        </w:numPr>
      </w:pPr>
      <w:r>
        <w:t>After sharing from student records, the data manager shall</w:t>
      </w:r>
      <w:r w:rsidR="00B05A2C">
        <w:t xml:space="preserve"> make a note in the student record of the exchange in accordance with </w:t>
      </w:r>
      <w:hyperlink r:id="rId15" w:history="1">
        <w:r w:rsidR="00B05A2C" w:rsidRPr="00B05A2C">
          <w:rPr>
            <w:rStyle w:val="Hyperlink"/>
          </w:rPr>
          <w:t>34 CFR 99.32</w:t>
        </w:r>
      </w:hyperlink>
      <w:r w:rsidR="00B05A2C">
        <w:t>.</w:t>
      </w:r>
    </w:p>
    <w:p w:rsidR="00DA3890" w:rsidRPr="00DA3890" w:rsidRDefault="00DA3890" w:rsidP="0017193A">
      <w:pPr>
        <w:pStyle w:val="Heading3"/>
      </w:pPr>
      <w:r w:rsidRPr="00DA3890">
        <w:t>6.2 Roles</w:t>
      </w:r>
    </w:p>
    <w:p w:rsidR="00DA3890" w:rsidRDefault="00DA3890" w:rsidP="00DA3890">
      <w:pPr>
        <w:pStyle w:val="ListParagraph"/>
        <w:numPr>
          <w:ilvl w:val="0"/>
          <w:numId w:val="13"/>
        </w:numPr>
      </w:pPr>
      <w:r>
        <w:t>Registration staff is responsible to create a list annually of students who have been opted out of directory information.</w:t>
      </w:r>
    </w:p>
    <w:p w:rsidR="00DA3890" w:rsidRDefault="00DA3890" w:rsidP="00DA3890">
      <w:pPr>
        <w:pStyle w:val="ListParagraph"/>
        <w:numPr>
          <w:ilvl w:val="0"/>
          <w:numId w:val="13"/>
        </w:numPr>
      </w:pPr>
      <w:r>
        <w:lastRenderedPageBreak/>
        <w:t>Teachers, Administrators, the Special Education Coordinator and Assessment Coordinator may also disclose certain student information as it directly pertains to their duties.  These staff members shall inform the data manager prior to any such disclosure.</w:t>
      </w:r>
    </w:p>
    <w:p w:rsidR="005D36FC" w:rsidRPr="005D36FC" w:rsidRDefault="005D36FC" w:rsidP="005D36FC"/>
    <w:p w:rsidR="00C52170" w:rsidRDefault="00671AAF" w:rsidP="00C52170">
      <w:pPr>
        <w:pStyle w:val="Heading2"/>
      </w:pPr>
      <w:r>
        <w:t xml:space="preserve">7. </w:t>
      </w:r>
      <w:r w:rsidR="00C52170">
        <w:t>Expungement Request Policy</w:t>
      </w:r>
    </w:p>
    <w:p w:rsidR="00C52170" w:rsidRDefault="00415E35" w:rsidP="00C52170">
      <w:r>
        <w:t xml:space="preserve">OCS </w:t>
      </w:r>
      <w:r w:rsidR="001A0B2F">
        <w:t xml:space="preserve">recognizes the risk associated with data following a student year after year that could be used to mistreat the student. </w:t>
      </w:r>
      <w:r>
        <w:t>OCS</w:t>
      </w:r>
      <w:r w:rsidR="001A0B2F">
        <w:t xml:space="preserve"> shall review all requests for records expungement from parents </w:t>
      </w:r>
      <w:r w:rsidR="009F256E">
        <w:t>and make a determination based on the following procedure.</w:t>
      </w:r>
    </w:p>
    <w:p w:rsidR="009F256E" w:rsidRDefault="009F256E" w:rsidP="009F256E">
      <w:pPr>
        <w:pStyle w:val="Heading3"/>
      </w:pPr>
      <w:r>
        <w:t>7.1 Procedure</w:t>
      </w:r>
    </w:p>
    <w:p w:rsidR="00461A6A" w:rsidRPr="00461A6A" w:rsidRDefault="00461A6A" w:rsidP="00461A6A">
      <w:r>
        <w:t>The following records may not be expunged: grades, transcripts, a record of the student’s enrollment, assessment information.</w:t>
      </w:r>
    </w:p>
    <w:p w:rsidR="009F256E" w:rsidRDefault="009F256E" w:rsidP="00C52170">
      <w:r>
        <w:t xml:space="preserve">The procedure for expungement shall match the record amendment procedure found in </w:t>
      </w:r>
      <w:hyperlink r:id="rId16" w:history="1">
        <w:r w:rsidRPr="009F256E">
          <w:rPr>
            <w:rStyle w:val="Hyperlink"/>
          </w:rPr>
          <w:t>34 CFR 99, Subpart C</w:t>
        </w:r>
      </w:hyperlink>
      <w:r>
        <w:t xml:space="preserve"> of FERPA.</w:t>
      </w:r>
    </w:p>
    <w:p w:rsidR="009F256E" w:rsidRDefault="009F256E" w:rsidP="009F256E">
      <w:pPr>
        <w:pStyle w:val="ListParagraph"/>
        <w:numPr>
          <w:ilvl w:val="0"/>
          <w:numId w:val="6"/>
        </w:numPr>
      </w:pPr>
      <w:r>
        <w:t>If a parent believes that a record is misleading, inaccurate, or in violation of the student’s privacy, they may request that the record be expunged.</w:t>
      </w:r>
    </w:p>
    <w:p w:rsidR="009F256E" w:rsidRDefault="00415E35" w:rsidP="009F256E">
      <w:pPr>
        <w:pStyle w:val="ListParagraph"/>
        <w:numPr>
          <w:ilvl w:val="0"/>
          <w:numId w:val="6"/>
        </w:numPr>
      </w:pPr>
      <w:r>
        <w:t xml:space="preserve">OCS </w:t>
      </w:r>
      <w:r w:rsidR="009F256E">
        <w:t>shall decide whether to expunge the data within a reasonable time after the request.</w:t>
      </w:r>
    </w:p>
    <w:p w:rsidR="009F256E" w:rsidRDefault="009F256E" w:rsidP="009F256E">
      <w:pPr>
        <w:pStyle w:val="ListParagraph"/>
        <w:numPr>
          <w:ilvl w:val="0"/>
          <w:numId w:val="6"/>
        </w:numPr>
      </w:pPr>
      <w:r>
        <w:t xml:space="preserve">If </w:t>
      </w:r>
      <w:r w:rsidR="00415E35">
        <w:t>OCS</w:t>
      </w:r>
      <w:r>
        <w:t xml:space="preserve"> decides not to expunge the record, they will inform the parent of their decision as well as the right to an appeal hearing.</w:t>
      </w:r>
    </w:p>
    <w:p w:rsidR="009F256E" w:rsidRDefault="00415E35" w:rsidP="009F256E">
      <w:pPr>
        <w:pStyle w:val="ListParagraph"/>
        <w:numPr>
          <w:ilvl w:val="0"/>
          <w:numId w:val="6"/>
        </w:numPr>
      </w:pPr>
      <w:r>
        <w:t>OCS</w:t>
      </w:r>
      <w:r w:rsidR="009F256E">
        <w:t xml:space="preserve"> shall hold the hearing within a reasonable time after receiving the request for a hearing.</w:t>
      </w:r>
    </w:p>
    <w:p w:rsidR="009F256E" w:rsidRDefault="00415E35" w:rsidP="009F256E">
      <w:pPr>
        <w:pStyle w:val="ListParagraph"/>
        <w:numPr>
          <w:ilvl w:val="0"/>
          <w:numId w:val="6"/>
        </w:numPr>
      </w:pPr>
      <w:r>
        <w:t>OCS</w:t>
      </w:r>
      <w:r w:rsidR="009F256E">
        <w:t xml:space="preserve"> shall provide the parent notice of the date, time, and place in advance of the hearing.</w:t>
      </w:r>
    </w:p>
    <w:p w:rsidR="009F256E" w:rsidRDefault="009F256E" w:rsidP="009F256E">
      <w:pPr>
        <w:pStyle w:val="ListParagraph"/>
        <w:numPr>
          <w:ilvl w:val="0"/>
          <w:numId w:val="6"/>
        </w:numPr>
      </w:pPr>
      <w:r>
        <w:t>The hearing shall be conducted by any individual that does not have a direct interest in the outcome of the hearing.</w:t>
      </w:r>
    </w:p>
    <w:p w:rsidR="009F256E" w:rsidRDefault="00415E35" w:rsidP="009F256E">
      <w:pPr>
        <w:pStyle w:val="ListParagraph"/>
        <w:numPr>
          <w:ilvl w:val="0"/>
          <w:numId w:val="6"/>
        </w:numPr>
      </w:pPr>
      <w:r>
        <w:t>OCS</w:t>
      </w:r>
      <w:r w:rsidR="009F256E">
        <w:t xml:space="preserve"> shall give the parent a full and fair opportunity to present relevant evidence. At the parents’ expense and choice, they may be represented by an individual of their choice, including an attorney.</w:t>
      </w:r>
    </w:p>
    <w:p w:rsidR="009F256E" w:rsidRDefault="00415E35" w:rsidP="009F256E">
      <w:pPr>
        <w:pStyle w:val="ListParagraph"/>
        <w:numPr>
          <w:ilvl w:val="0"/>
          <w:numId w:val="6"/>
        </w:numPr>
      </w:pPr>
      <w:r>
        <w:t>OCS</w:t>
      </w:r>
      <w:r w:rsidR="009F256E">
        <w:t xml:space="preserve"> shall make its decision in writing within a reasonable time following the hearing.</w:t>
      </w:r>
    </w:p>
    <w:p w:rsidR="009F256E" w:rsidRDefault="009F256E" w:rsidP="009F256E">
      <w:pPr>
        <w:pStyle w:val="ListParagraph"/>
        <w:numPr>
          <w:ilvl w:val="0"/>
          <w:numId w:val="6"/>
        </w:numPr>
      </w:pPr>
      <w:r>
        <w:t>The decision must be based exclusively on evidence presented at the hearing and include a summary of the evidence and reasons for the decision.</w:t>
      </w:r>
    </w:p>
    <w:p w:rsidR="009F256E" w:rsidRDefault="009F256E" w:rsidP="009F256E">
      <w:pPr>
        <w:pStyle w:val="ListParagraph"/>
        <w:numPr>
          <w:ilvl w:val="0"/>
          <w:numId w:val="6"/>
        </w:numPr>
      </w:pPr>
      <w:r>
        <w:t xml:space="preserve">If the decision is to expunge the record, </w:t>
      </w:r>
      <w:r w:rsidR="00415E35">
        <w:t>OCS</w:t>
      </w:r>
      <w:r>
        <w:t xml:space="preserve"> will seal it or make it otherwise unavailable to </w:t>
      </w:r>
      <w:r w:rsidR="00C95F26">
        <w:t>other staff and educators.</w:t>
      </w:r>
    </w:p>
    <w:p w:rsidR="00C95F26" w:rsidRDefault="00C95F26" w:rsidP="00C95F26">
      <w:pPr>
        <w:pStyle w:val="ListParagraph"/>
      </w:pPr>
    </w:p>
    <w:p w:rsidR="00C52170" w:rsidRPr="00C52170" w:rsidRDefault="00671AAF" w:rsidP="00C52170">
      <w:pPr>
        <w:pStyle w:val="Heading2"/>
      </w:pPr>
      <w:r>
        <w:t xml:space="preserve">8. </w:t>
      </w:r>
      <w:r w:rsidR="00C52170">
        <w:t>Data Breach Response Policy</w:t>
      </w:r>
    </w:p>
    <w:p w:rsidR="00461A6A" w:rsidRDefault="00415E35" w:rsidP="00461A6A">
      <w:r>
        <w:t xml:space="preserve">OCS </w:t>
      </w:r>
      <w:r w:rsidR="00461A6A" w:rsidRPr="005B48A3">
        <w:t xml:space="preserve">shall follow industry best practices to protect information and data. In the event of a data breach or inadvertent disclosure of personally identifiable information, </w:t>
      </w:r>
      <w:r>
        <w:t>OCS</w:t>
      </w:r>
      <w:r w:rsidR="00461A6A" w:rsidRPr="005B48A3">
        <w:t xml:space="preserve"> staff shall follow industry best practices for responding to the breach.</w:t>
      </w:r>
    </w:p>
    <w:p w:rsidR="00461A6A" w:rsidRDefault="00461A6A" w:rsidP="00461A6A">
      <w:pPr>
        <w:pStyle w:val="Heading3"/>
      </w:pPr>
      <w:r>
        <w:t>8.1 Procedures</w:t>
      </w:r>
      <w:r w:rsidRPr="005B48A3">
        <w:t xml:space="preserve"> </w:t>
      </w:r>
    </w:p>
    <w:p w:rsidR="00461A6A" w:rsidRDefault="00461A6A" w:rsidP="00461A6A">
      <w:pPr>
        <w:pStyle w:val="ListParagraph"/>
        <w:numPr>
          <w:ilvl w:val="0"/>
          <w:numId w:val="9"/>
        </w:numPr>
      </w:pPr>
      <w:r>
        <w:t xml:space="preserve">The </w:t>
      </w:r>
      <w:r w:rsidR="00415E35">
        <w:t>Director</w:t>
      </w:r>
      <w:r>
        <w:t xml:space="preserve"> will work with the information security officer to designate individuals to be members of the cyber incident response team (CIRT)</w:t>
      </w:r>
    </w:p>
    <w:p w:rsidR="00A649D0" w:rsidRDefault="00A649D0" w:rsidP="00461A6A">
      <w:pPr>
        <w:pStyle w:val="ListParagraph"/>
        <w:numPr>
          <w:ilvl w:val="0"/>
          <w:numId w:val="9"/>
        </w:numPr>
      </w:pPr>
      <w:r>
        <w:t>At the beginning of an investigation, the information security officer will begin tracking the incident and log all information and evidence related to the investigation.</w:t>
      </w:r>
    </w:p>
    <w:p w:rsidR="00461A6A" w:rsidRDefault="00461A6A" w:rsidP="00461A6A">
      <w:pPr>
        <w:pStyle w:val="ListParagraph"/>
        <w:numPr>
          <w:ilvl w:val="0"/>
          <w:numId w:val="9"/>
        </w:numPr>
      </w:pPr>
      <w:r>
        <w:lastRenderedPageBreak/>
        <w:t>The information security officer will call the CIRT into action once there is reasonable evidence that an incident or breach has occurred.</w:t>
      </w:r>
    </w:p>
    <w:p w:rsidR="00A649D0" w:rsidRDefault="00A649D0" w:rsidP="00461A6A">
      <w:pPr>
        <w:pStyle w:val="ListParagraph"/>
        <w:numPr>
          <w:ilvl w:val="0"/>
          <w:numId w:val="9"/>
        </w:numPr>
      </w:pPr>
      <w:r>
        <w:t>The information security officer will coordinate with other IT staff to determine the root cause of the breach and close the breach.</w:t>
      </w:r>
    </w:p>
    <w:p w:rsidR="00461A6A" w:rsidRDefault="00461A6A" w:rsidP="00461A6A">
      <w:pPr>
        <w:pStyle w:val="ListParagraph"/>
        <w:numPr>
          <w:ilvl w:val="0"/>
          <w:numId w:val="9"/>
        </w:numPr>
      </w:pPr>
      <w:r>
        <w:t xml:space="preserve">The CIRT will coordinate with legal counsel to determine if the incident is </w:t>
      </w:r>
      <w:r w:rsidR="00A649D0">
        <w:t>meets the legal definition of</w:t>
      </w:r>
      <w:r>
        <w:t xml:space="preserve"> </w:t>
      </w:r>
      <w:r w:rsidR="00A649D0">
        <w:t xml:space="preserve">a </w:t>
      </w:r>
      <w:r w:rsidR="00B83EC8">
        <w:t xml:space="preserve">significant </w:t>
      </w:r>
      <w:r>
        <w:t xml:space="preserve">breach </w:t>
      </w:r>
      <w:r w:rsidR="00B83EC8">
        <w:t xml:space="preserve">as defined in </w:t>
      </w:r>
      <w:hyperlink r:id="rId17" w:history="1">
        <w:r w:rsidR="00B83EC8" w:rsidRPr="00B05A2C">
          <w:rPr>
            <w:rStyle w:val="Hyperlink"/>
          </w:rPr>
          <w:t>R277-487</w:t>
        </w:r>
      </w:hyperlink>
      <w:r w:rsidR="00B83EC8">
        <w:t xml:space="preserve"> </w:t>
      </w:r>
      <w:r>
        <w:t xml:space="preserve">and </w:t>
      </w:r>
      <w:r w:rsidR="00A649D0">
        <w:t>determine which entities and individuals need to be notified.</w:t>
      </w:r>
      <w:r w:rsidR="00B83EC8">
        <w:t xml:space="preserve"> </w:t>
      </w:r>
    </w:p>
    <w:p w:rsidR="00A649D0" w:rsidRDefault="00A649D0" w:rsidP="00461A6A">
      <w:pPr>
        <w:pStyle w:val="ListParagraph"/>
        <w:numPr>
          <w:ilvl w:val="0"/>
          <w:numId w:val="9"/>
        </w:numPr>
      </w:pPr>
      <w:r>
        <w:t>If law enforcement is notified and begins an investigation, the CIRT will consult with them before notifying parents or the public so as to not interfere with the law enforcement investigation.</w:t>
      </w:r>
    </w:p>
    <w:p w:rsidR="00FD4B9A" w:rsidRPr="00FD4B9A" w:rsidRDefault="00461A6A" w:rsidP="00A649D0">
      <w:pPr>
        <w:spacing w:after="0"/>
      </w:pPr>
      <w:r>
        <w:t xml:space="preserve"> </w:t>
      </w:r>
    </w:p>
    <w:p w:rsidR="00165954" w:rsidRDefault="00671AAF" w:rsidP="00165954">
      <w:pPr>
        <w:pStyle w:val="Heading2"/>
      </w:pPr>
      <w:r>
        <w:t xml:space="preserve">9. </w:t>
      </w:r>
      <w:r w:rsidR="00165954">
        <w:t>Publication Policy</w:t>
      </w:r>
    </w:p>
    <w:p w:rsidR="00165954" w:rsidRPr="00165954" w:rsidRDefault="00DA3890" w:rsidP="00165954">
      <w:r>
        <w:t xml:space="preserve">OCS </w:t>
      </w:r>
      <w:r w:rsidR="00165954">
        <w:t xml:space="preserve">recognizes the importance of transparency and will post this policy on </w:t>
      </w:r>
      <w:r>
        <w:t xml:space="preserve">OCS’s </w:t>
      </w:r>
      <w:r w:rsidR="00165954">
        <w:t>website.</w:t>
      </w:r>
    </w:p>
    <w:sectPr w:rsidR="00165954" w:rsidRPr="00165954" w:rsidSect="00E160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C1309"/>
    <w:multiLevelType w:val="hybridMultilevel"/>
    <w:tmpl w:val="CE16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BE1390"/>
    <w:multiLevelType w:val="hybridMultilevel"/>
    <w:tmpl w:val="6C60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F3338"/>
    <w:multiLevelType w:val="hybridMultilevel"/>
    <w:tmpl w:val="D6844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409FC"/>
    <w:multiLevelType w:val="hybridMultilevel"/>
    <w:tmpl w:val="53684A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271E603C"/>
    <w:multiLevelType w:val="hybridMultilevel"/>
    <w:tmpl w:val="3EBE6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8F09EE"/>
    <w:multiLevelType w:val="hybridMultilevel"/>
    <w:tmpl w:val="44FC0B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D2523E"/>
    <w:multiLevelType w:val="hybridMultilevel"/>
    <w:tmpl w:val="973C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E620CB"/>
    <w:multiLevelType w:val="hybridMultilevel"/>
    <w:tmpl w:val="7C622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195F4B"/>
    <w:multiLevelType w:val="hybridMultilevel"/>
    <w:tmpl w:val="6610F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2B2E8E"/>
    <w:multiLevelType w:val="hybridMultilevel"/>
    <w:tmpl w:val="759E9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584503"/>
    <w:multiLevelType w:val="hybridMultilevel"/>
    <w:tmpl w:val="B2F62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E9609A"/>
    <w:multiLevelType w:val="hybridMultilevel"/>
    <w:tmpl w:val="8F24F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7D6A9A"/>
    <w:multiLevelType w:val="hybridMultilevel"/>
    <w:tmpl w:val="C472F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
  </w:num>
  <w:num w:numId="5">
    <w:abstractNumId w:val="6"/>
  </w:num>
  <w:num w:numId="6">
    <w:abstractNumId w:val="7"/>
  </w:num>
  <w:num w:numId="7">
    <w:abstractNumId w:val="11"/>
  </w:num>
  <w:num w:numId="8">
    <w:abstractNumId w:val="9"/>
  </w:num>
  <w:num w:numId="9">
    <w:abstractNumId w:val="4"/>
  </w:num>
  <w:num w:numId="10">
    <w:abstractNumId w:val="2"/>
  </w:num>
  <w:num w:numId="11">
    <w:abstractNumId w:val="5"/>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3004"/>
    <w:rsid w:val="00071B65"/>
    <w:rsid w:val="0008195F"/>
    <w:rsid w:val="000E3EB2"/>
    <w:rsid w:val="00165954"/>
    <w:rsid w:val="0017193A"/>
    <w:rsid w:val="001A0B2F"/>
    <w:rsid w:val="002F3FEA"/>
    <w:rsid w:val="00415E35"/>
    <w:rsid w:val="00430939"/>
    <w:rsid w:val="004445C9"/>
    <w:rsid w:val="00461A6A"/>
    <w:rsid w:val="0058743E"/>
    <w:rsid w:val="005C5259"/>
    <w:rsid w:val="005D36FC"/>
    <w:rsid w:val="00613F80"/>
    <w:rsid w:val="00671AAF"/>
    <w:rsid w:val="00726DEB"/>
    <w:rsid w:val="009F256E"/>
    <w:rsid w:val="00A649D0"/>
    <w:rsid w:val="00AF713D"/>
    <w:rsid w:val="00B05A2C"/>
    <w:rsid w:val="00B60704"/>
    <w:rsid w:val="00B636CB"/>
    <w:rsid w:val="00B83EC8"/>
    <w:rsid w:val="00C52170"/>
    <w:rsid w:val="00C95F26"/>
    <w:rsid w:val="00CC3004"/>
    <w:rsid w:val="00D67138"/>
    <w:rsid w:val="00DA3890"/>
    <w:rsid w:val="00E16062"/>
    <w:rsid w:val="00EB77B8"/>
    <w:rsid w:val="00EF0411"/>
    <w:rsid w:val="00F06C84"/>
    <w:rsid w:val="00FD4B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062"/>
  </w:style>
  <w:style w:type="paragraph" w:styleId="Heading1">
    <w:name w:val="heading 1"/>
    <w:basedOn w:val="Normal"/>
    <w:next w:val="Normal"/>
    <w:link w:val="Heading1Char"/>
    <w:uiPriority w:val="9"/>
    <w:qFormat/>
    <w:rsid w:val="00C521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30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30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004"/>
    <w:pPr>
      <w:ind w:left="720"/>
      <w:contextualSpacing/>
    </w:pPr>
  </w:style>
  <w:style w:type="character" w:customStyle="1" w:styleId="Heading2Char">
    <w:name w:val="Heading 2 Char"/>
    <w:basedOn w:val="DefaultParagraphFont"/>
    <w:link w:val="Heading2"/>
    <w:uiPriority w:val="9"/>
    <w:rsid w:val="00CC30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C300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C3004"/>
    <w:rPr>
      <w:color w:val="0563C1" w:themeColor="hyperlink"/>
      <w:u w:val="single"/>
    </w:rPr>
  </w:style>
  <w:style w:type="character" w:customStyle="1" w:styleId="UnresolvedMention">
    <w:name w:val="Unresolved Mention"/>
    <w:basedOn w:val="DefaultParagraphFont"/>
    <w:uiPriority w:val="99"/>
    <w:semiHidden/>
    <w:unhideWhenUsed/>
    <w:rsid w:val="00CC3004"/>
    <w:rPr>
      <w:color w:val="605E5C"/>
      <w:shd w:val="clear" w:color="auto" w:fill="E1DFDD"/>
    </w:rPr>
  </w:style>
  <w:style w:type="table" w:styleId="TableGrid">
    <w:name w:val="Table Grid"/>
    <w:basedOn w:val="TableNormal"/>
    <w:uiPriority w:val="39"/>
    <w:rsid w:val="00D671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52170"/>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06C84"/>
    <w:rPr>
      <w:color w:val="954F72" w:themeColor="followedHyperlink"/>
      <w:u w:val="single"/>
    </w:rPr>
  </w:style>
  <w:style w:type="character" w:styleId="CommentReference">
    <w:name w:val="annotation reference"/>
    <w:basedOn w:val="DefaultParagraphFont"/>
    <w:uiPriority w:val="99"/>
    <w:semiHidden/>
    <w:unhideWhenUsed/>
    <w:rsid w:val="00F06C84"/>
    <w:rPr>
      <w:sz w:val="16"/>
      <w:szCs w:val="16"/>
    </w:rPr>
  </w:style>
  <w:style w:type="paragraph" w:styleId="CommentText">
    <w:name w:val="annotation text"/>
    <w:basedOn w:val="Normal"/>
    <w:link w:val="CommentTextChar"/>
    <w:uiPriority w:val="99"/>
    <w:semiHidden/>
    <w:unhideWhenUsed/>
    <w:rsid w:val="00F06C84"/>
    <w:pPr>
      <w:spacing w:line="240" w:lineRule="auto"/>
    </w:pPr>
    <w:rPr>
      <w:sz w:val="20"/>
      <w:szCs w:val="20"/>
    </w:rPr>
  </w:style>
  <w:style w:type="character" w:customStyle="1" w:styleId="CommentTextChar">
    <w:name w:val="Comment Text Char"/>
    <w:basedOn w:val="DefaultParagraphFont"/>
    <w:link w:val="CommentText"/>
    <w:uiPriority w:val="99"/>
    <w:semiHidden/>
    <w:rsid w:val="00F06C84"/>
    <w:rPr>
      <w:sz w:val="20"/>
      <w:szCs w:val="20"/>
    </w:rPr>
  </w:style>
  <w:style w:type="paragraph" w:styleId="CommentSubject">
    <w:name w:val="annotation subject"/>
    <w:basedOn w:val="CommentText"/>
    <w:next w:val="CommentText"/>
    <w:link w:val="CommentSubjectChar"/>
    <w:uiPriority w:val="99"/>
    <w:semiHidden/>
    <w:unhideWhenUsed/>
    <w:rsid w:val="00F06C84"/>
    <w:rPr>
      <w:b/>
      <w:bCs/>
    </w:rPr>
  </w:style>
  <w:style w:type="character" w:customStyle="1" w:styleId="CommentSubjectChar">
    <w:name w:val="Comment Subject Char"/>
    <w:basedOn w:val="CommentTextChar"/>
    <w:link w:val="CommentSubject"/>
    <w:uiPriority w:val="99"/>
    <w:semiHidden/>
    <w:rsid w:val="00F06C84"/>
    <w:rPr>
      <w:b/>
      <w:bCs/>
      <w:sz w:val="20"/>
      <w:szCs w:val="20"/>
    </w:rPr>
  </w:style>
  <w:style w:type="paragraph" w:styleId="BalloonText">
    <w:name w:val="Balloon Text"/>
    <w:basedOn w:val="Normal"/>
    <w:link w:val="BalloonTextChar"/>
    <w:uiPriority w:val="99"/>
    <w:semiHidden/>
    <w:unhideWhenUsed/>
    <w:rsid w:val="00F06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C8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2287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34/99.37" TargetMode="External"/><Relationship Id="rId13" Type="http://schemas.openxmlformats.org/officeDocument/2006/relationships/hyperlink" Target="https://le.utah.gov/xcode/Title53E/Chapter9/53E-9-S309.html?v=C53E-9-S309_201805082018050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w.cornell.edu/cfr/text/34/99.7" TargetMode="External"/><Relationship Id="rId12" Type="http://schemas.openxmlformats.org/officeDocument/2006/relationships/hyperlink" Target="https://le.utah.gov/xcode/Title53E/Chapter9/53E-9-S204.html" TargetMode="External"/><Relationship Id="rId17" Type="http://schemas.openxmlformats.org/officeDocument/2006/relationships/hyperlink" Target="https://rules.utah.gov/publicat/code/r277/r277-487.htm" TargetMode="External"/><Relationship Id="rId2" Type="http://schemas.openxmlformats.org/officeDocument/2006/relationships/styles" Target="styles.xml"/><Relationship Id="rId16" Type="http://schemas.openxmlformats.org/officeDocument/2006/relationships/hyperlink" Target="https://www.law.cornell.edu/cfr/text/34/part-99/subpart-C" TargetMode="External"/><Relationship Id="rId1" Type="http://schemas.openxmlformats.org/officeDocument/2006/relationships/numbering" Target="numbering.xml"/><Relationship Id="rId6" Type="http://schemas.openxmlformats.org/officeDocument/2006/relationships/hyperlink" Target="https://www.cisecurity.org/controls/" TargetMode="External"/><Relationship Id="rId11" Type="http://schemas.openxmlformats.org/officeDocument/2006/relationships/hyperlink" Target="https://le.utah.gov/xcode/Title53E/Chapter9/53E-9-S305.html?v=C53E-9-S305_2018050820180508" TargetMode="External"/><Relationship Id="rId5" Type="http://schemas.openxmlformats.org/officeDocument/2006/relationships/hyperlink" Target="https://rules.utah.gov/publicat/code/r277/r277-487.htm" TargetMode="External"/><Relationship Id="rId15" Type="http://schemas.openxmlformats.org/officeDocument/2006/relationships/hyperlink" Target="https://www.law.cornell.edu/cfr/text/34/99.32" TargetMode="External"/><Relationship Id="rId10" Type="http://schemas.openxmlformats.org/officeDocument/2006/relationships/hyperlink" Target="https://le.utah.gov/xcode/Title53E/Chapter9/53E-9-S203.html?v=C53E-9-S203_20180124201801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w.cornell.edu/uscode/text/20/1232h" TargetMode="External"/><Relationship Id="rId14" Type="http://schemas.openxmlformats.org/officeDocument/2006/relationships/hyperlink" Target="https://www.law.cornell.edu/cfr/text/34/9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1341</Words>
  <Characters>7647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OCS</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Sallay, David</dc:creator>
  <cp:lastModifiedBy>rschellhous</cp:lastModifiedBy>
  <cp:revision>2</cp:revision>
  <dcterms:created xsi:type="dcterms:W3CDTF">2019-11-20T20:31:00Z</dcterms:created>
  <dcterms:modified xsi:type="dcterms:W3CDTF">2019-11-20T20:31:00Z</dcterms:modified>
</cp:coreProperties>
</file>